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99D" w:rsidRDefault="002903C7" w14:paraId="78561F7C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</w:pPr>
      <w:r>
        <w:t>EFELIA Côte d’Azur</w:t>
      </w:r>
    </w:p>
    <w:p w:rsidR="00B7399D" w:rsidRDefault="002903C7" w14:paraId="1B02BFE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</w:pPr>
      <w:r>
        <w:t>Appel à projet écoles d’été 2025-2026</w:t>
      </w:r>
    </w:p>
    <w:p w:rsidR="00B7399D" w:rsidRDefault="002903C7" w14:paraId="5388AB1A" w14:textId="77777777">
      <w:pPr>
        <w:pStyle w:val="Titre1"/>
        <w:jc w:val="both"/>
      </w:pPr>
      <w:r>
        <w:t>Contexte</w:t>
      </w:r>
    </w:p>
    <w:p w:rsidR="00B7399D" w:rsidRDefault="002903C7" w14:paraId="3D18E866" w14:textId="77777777">
      <w:pPr>
        <w:jc w:val="both"/>
      </w:pPr>
      <w:r>
        <w:t xml:space="preserve">En 2022, le consortium mené par Université Côte d'Azur et constitué du CNRS, d'EURECOM, d'Inria, de l'Inserm et de Skema Business School, est lauréat de l'AMI d'État France 2030 </w:t>
      </w:r>
      <w:r>
        <w:t>Compétences et Métiers d'Avenir pour son projet d’École Française de l’Intelligence Artificielle ; EFELIA Côte d'Azur est financé de 2022 à 2027 à hauteur de 8 millions d'euros pour massifier la formation en IA. Le projet est suivi par l’Agence Nationale d</w:t>
      </w:r>
      <w:r>
        <w:t>e la Recherche (ANR).</w:t>
      </w:r>
    </w:p>
    <w:p w:rsidR="00B7399D" w:rsidRDefault="002903C7" w14:paraId="7F9876BB" w14:textId="77777777">
      <w:pPr>
        <w:jc w:val="both"/>
      </w:pPr>
      <w:r>
        <w:t>Le projet, opéré par Université Côte d'Azur, a un périmètre d'action de Bac -3 à Bac +8 et de formation continue des personnels d'organismes publics comme des entreprises.</w:t>
      </w:r>
    </w:p>
    <w:p w:rsidR="00B7399D" w:rsidRDefault="002903C7" w14:paraId="170FD06F" w14:textId="0AAF0C70">
      <w:pPr>
        <w:jc w:val="both"/>
      </w:pPr>
      <w:r>
        <w:t>L’Intelligence Artificielle</w:t>
      </w:r>
      <w:r w:rsidR="003E147E">
        <w:t xml:space="preserve"> (IA)</w:t>
      </w:r>
      <w:r>
        <w:t xml:space="preserve"> moderne désigne un ensemble de pro</w:t>
      </w:r>
      <w:r>
        <w:t>grès méthodologiques en informatique et statistiques, qui impactent de façon croissante différentes disciplines scientifiques (sciences naturelles, humaines et sociales), différents domaines économiques et la société dans son ensemble.</w:t>
      </w:r>
    </w:p>
    <w:p w:rsidR="00B7399D" w:rsidRDefault="002903C7" w14:paraId="54BBE666" w14:textId="4118C75F">
      <w:pPr>
        <w:jc w:val="both"/>
      </w:pPr>
      <w:r>
        <w:t>L'objectif du projet</w:t>
      </w:r>
      <w:r>
        <w:t xml:space="preserve"> EFELIA Côte d'Azur est de développer des formations et des enseignements en IA</w:t>
      </w:r>
      <w:r w:rsidR="003E147E">
        <w:t xml:space="preserve"> </w:t>
      </w:r>
      <w:r>
        <w:t>pour tous les publics, leur permettant de s'emparer des avancées de l'IA dans leurs domaines d'expertise respectifs, mais aussi d'appréhender les enjeux actuels de ces méthodes</w:t>
      </w:r>
      <w:r>
        <w:t>. EFELIA Côte d'Azur irrigue ainsi les domaines scientifiques, économiques et sociaux des connaissances et des compétences les plus pertinentes, pour des progrès les plus durables.</w:t>
      </w:r>
    </w:p>
    <w:p w:rsidR="00B7399D" w:rsidRDefault="002903C7" w14:paraId="4782BA1C" w14:textId="77777777">
      <w:pPr>
        <w:jc w:val="both"/>
      </w:pPr>
      <w:r>
        <w:t>Entre septembre 2022 et novembre 2024, ce sont déjà 11 000 personnes de plu</w:t>
      </w:r>
      <w:r>
        <w:t>s qui suivent de nouveaux enseignements en l'Intelligence Artificielle.</w:t>
      </w:r>
    </w:p>
    <w:p w:rsidR="00B7399D" w:rsidRDefault="002903C7" w14:paraId="7D2AA2F4" w14:textId="77777777">
      <w:pPr>
        <w:jc w:val="both"/>
      </w:pPr>
      <w:r>
        <w:t xml:space="preserve">Site internet : </w:t>
      </w:r>
      <w:hyperlink r:id="rId10">
        <w:r>
          <w:rPr>
            <w:rStyle w:val="Lienhypertexte"/>
          </w:rPr>
          <w:t>https://univ-cotedazur.fr/efelia-cote-dazur</w:t>
        </w:r>
      </w:hyperlink>
      <w:r>
        <w:t xml:space="preserve"> </w:t>
      </w:r>
    </w:p>
    <w:p w:rsidR="00B7399D" w:rsidRDefault="002903C7" w14:paraId="67BA6239" w14:textId="77777777">
      <w:pPr>
        <w:jc w:val="both"/>
        <w:rPr>
          <w:lang w:val="en-US"/>
        </w:rPr>
      </w:pPr>
      <w:r>
        <w:rPr>
          <w:lang w:val="en-US"/>
        </w:rPr>
        <w:t xml:space="preserve">Page LinkedIn : </w:t>
      </w:r>
      <w:hyperlink r:id="rId11">
        <w:r>
          <w:rPr>
            <w:rStyle w:val="Lienhypertexte"/>
            <w:lang w:val="en-US"/>
          </w:rPr>
          <w:t>https://www.linkedin.com/showcase/efelia-cote-d-azur</w:t>
        </w:r>
      </w:hyperlink>
      <w:r>
        <w:rPr>
          <w:lang w:val="en-US"/>
        </w:rPr>
        <w:t xml:space="preserve"> </w:t>
      </w:r>
    </w:p>
    <w:p w:rsidR="00B7399D" w:rsidRDefault="002903C7" w14:paraId="74572103" w14:textId="77777777">
      <w:pPr>
        <w:pStyle w:val="Titre1"/>
        <w:jc w:val="both"/>
      </w:pPr>
      <w:r>
        <w:t>Objet de l’appel à projet (AAP)</w:t>
      </w:r>
    </w:p>
    <w:p w:rsidR="00B7399D" w:rsidRDefault="002903C7" w14:paraId="4D9A570A" w14:textId="0EA6C123">
      <w:pPr>
        <w:jc w:val="both"/>
      </w:pPr>
      <w:r>
        <w:t xml:space="preserve">EFELIA Côte d'Azur lance </w:t>
      </w:r>
      <w:r>
        <w:t xml:space="preserve">un appel à financement </w:t>
      </w:r>
      <w:r>
        <w:t>d'</w:t>
      </w:r>
      <w:r>
        <w:t xml:space="preserve">écoles </w:t>
      </w:r>
      <w:r>
        <w:t xml:space="preserve">thématiques en lien </w:t>
      </w:r>
      <w:r>
        <w:t>avec l'IA (dénotées écoles d'été mais pouvant être réalisées à toute saison)</w:t>
      </w:r>
      <w:r>
        <w:t>. Ces écoles doivent contribuer</w:t>
      </w:r>
      <w:r>
        <w:t xml:space="preserve"> aux</w:t>
      </w:r>
      <w:r>
        <w:t xml:space="preserve"> objectifs </w:t>
      </w:r>
      <w:r>
        <w:t>de EFELIA Côte d'Azur,</w:t>
      </w:r>
      <w:r>
        <w:t xml:space="preserve"> à savoir contribuer à massifier l’enseignement à l’intelligence artificielle.</w:t>
      </w:r>
    </w:p>
    <w:p w:rsidR="00B7399D" w:rsidRDefault="002903C7" w14:paraId="350A0AA7" w14:textId="2E4C22F9">
      <w:pPr>
        <w:jc w:val="both"/>
      </w:pPr>
      <w:r>
        <w:t xml:space="preserve">A ce titre, </w:t>
      </w:r>
      <w:r>
        <w:t>un appel à école d'été est lancé, proposa</w:t>
      </w:r>
      <w:r>
        <w:t xml:space="preserve">nt </w:t>
      </w:r>
      <w:r>
        <w:t>de financer annuellement jusqu’à 7 écoles d’été à hauteur de 5000 euros chacune.</w:t>
      </w:r>
    </w:p>
    <w:p w:rsidR="00B7399D" w:rsidRDefault="002903C7" w14:paraId="5D477159" w14:textId="77777777">
      <w:pPr>
        <w:pStyle w:val="Titre1"/>
        <w:jc w:val="both"/>
        <w:rPr>
          <w:rFonts w:eastAsia="Times New Roman"/>
        </w:rPr>
      </w:pPr>
      <w:r>
        <w:rPr>
          <w:rFonts w:eastAsia="Times New Roman"/>
        </w:rPr>
        <w:t>Critères d’éligibilité</w:t>
      </w:r>
    </w:p>
    <w:p w:rsidR="00B7399D" w:rsidRDefault="002903C7" w14:paraId="18D44484" w14:textId="32E74458">
      <w:pPr>
        <w:jc w:val="both"/>
        <w:rPr>
          <w:rFonts w:eastAsia="Times New Roman"/>
        </w:rPr>
      </w:pPr>
      <w:r>
        <w:rPr>
          <w:rFonts w:eastAsia="Times New Roman"/>
        </w:rPr>
        <w:t>Les</w:t>
      </w:r>
      <w:r>
        <w:rPr>
          <w:rFonts w:eastAsia="Times New Roman"/>
        </w:rPr>
        <w:t xml:space="preserve"> personnes</w:t>
      </w:r>
      <w:r>
        <w:rPr>
          <w:rFonts w:eastAsia="Times New Roman"/>
        </w:rPr>
        <w:t xml:space="preserve"> porteu</w:t>
      </w:r>
      <w:r>
        <w:rPr>
          <w:rFonts w:eastAsia="Times New Roman"/>
        </w:rPr>
        <w:t xml:space="preserve">ses </w:t>
      </w:r>
      <w:r>
        <w:rPr>
          <w:rFonts w:eastAsia="Times New Roman"/>
        </w:rPr>
        <w:t>d</w:t>
      </w:r>
      <w:r>
        <w:rPr>
          <w:rFonts w:eastAsia="Times New Roman"/>
        </w:rPr>
        <w:t>u</w:t>
      </w:r>
      <w:r>
        <w:rPr>
          <w:rFonts w:eastAsia="Times New Roman"/>
        </w:rPr>
        <w:t xml:space="preserve"> projet</w:t>
      </w:r>
      <w:r>
        <w:rPr>
          <w:rFonts w:eastAsia="Times New Roman"/>
        </w:rPr>
        <w:t xml:space="preserve"> d'école d'été</w:t>
      </w:r>
      <w:r w:rsidR="003E147E">
        <w:rPr>
          <w:rFonts w:eastAsia="Times New Roman"/>
        </w:rPr>
        <w:t xml:space="preserve"> </w:t>
      </w:r>
      <w:r>
        <w:rPr>
          <w:rFonts w:eastAsia="Times New Roman"/>
        </w:rPr>
        <w:t xml:space="preserve">doivent être issus d’une structure appartenant </w:t>
      </w:r>
      <w:r>
        <w:rPr>
          <w:rFonts w:eastAsia="Times New Roman"/>
        </w:rPr>
        <w:t>au consortium EFELIA Côte d'Azur</w:t>
      </w:r>
      <w:r>
        <w:rPr>
          <w:rFonts w:eastAsia="Times New Roman"/>
        </w:rPr>
        <w:t>.</w:t>
      </w:r>
    </w:p>
    <w:p w:rsidR="00B7399D" w:rsidRDefault="002903C7" w14:paraId="225545FC" w14:textId="02B100AC">
      <w:pPr>
        <w:jc w:val="both"/>
        <w:rPr>
          <w:rFonts w:eastAsia="Times New Roman"/>
        </w:rPr>
      </w:pPr>
      <w:r>
        <w:rPr>
          <w:rFonts w:eastAsia="Times New Roman"/>
        </w:rPr>
        <w:t xml:space="preserve">Pour l'appel 2025, les dépenses devront </w:t>
      </w:r>
      <w:r>
        <w:rPr>
          <w:rFonts w:eastAsia="Times New Roman"/>
        </w:rPr>
        <w:t xml:space="preserve">être faites avant le 31 juillet 2026 (dépenses facturées et payées, et celles </w:t>
      </w:r>
      <w:r>
        <w:rPr>
          <w:rFonts w:eastAsia="Times New Roman"/>
        </w:rPr>
        <w:t>engagées avant cette date).</w:t>
      </w:r>
    </w:p>
    <w:p w:rsidR="00B7399D" w:rsidRDefault="002903C7" w14:paraId="3C6A99B5" w14:textId="77777777">
      <w:pPr>
        <w:jc w:val="both"/>
        <w:rPr>
          <w:rFonts w:eastAsia="Times New Roman"/>
        </w:rPr>
      </w:pPr>
      <w:r>
        <w:rPr>
          <w:rFonts w:eastAsia="Times New Roman"/>
        </w:rPr>
        <w:t>Les projets peuvent être rédigés en français ou en anglais.</w:t>
      </w:r>
    </w:p>
    <w:p w:rsidR="00B7399D" w:rsidRDefault="002903C7" w14:paraId="60978154" w14:textId="77777777">
      <w:pPr>
        <w:jc w:val="both"/>
        <w:rPr>
          <w:rFonts w:eastAsia="Times New Roman"/>
        </w:rPr>
      </w:pPr>
      <w:r>
        <w:t xml:space="preserve">Les dépenses éligibles </w:t>
      </w:r>
      <w:r>
        <w:t>sont les missions et les frais de réception (traiteur, salle).</w:t>
      </w:r>
    </w:p>
    <w:p w:rsidR="00B7399D" w:rsidRDefault="002903C7" w14:paraId="2F4965C8" w14:textId="788D9EDD">
      <w:pPr>
        <w:jc w:val="both"/>
        <w:rPr>
          <w:rFonts w:eastAsia="Times New Roman"/>
        </w:rPr>
      </w:pPr>
      <w:r>
        <w:rPr>
          <w:rFonts w:eastAsia="Times New Roman"/>
        </w:rPr>
        <w:t>Le</w:t>
      </w:r>
      <w:r>
        <w:rPr>
          <w:rFonts w:eastAsia="Times New Roman"/>
        </w:rPr>
        <w:t>s personnes</w:t>
      </w:r>
      <w:r>
        <w:rPr>
          <w:rFonts w:eastAsia="Times New Roman"/>
        </w:rPr>
        <w:t xml:space="preserve"> porteu</w:t>
      </w:r>
      <w:r>
        <w:rPr>
          <w:rFonts w:eastAsia="Times New Roman"/>
        </w:rPr>
        <w:t>ses</w:t>
      </w:r>
      <w:r>
        <w:rPr>
          <w:rFonts w:eastAsia="Times New Roman"/>
        </w:rPr>
        <w:t xml:space="preserve"> devr</w:t>
      </w:r>
      <w:r>
        <w:rPr>
          <w:rFonts w:eastAsia="Times New Roman"/>
        </w:rPr>
        <w:t>ont</w:t>
      </w:r>
      <w:r>
        <w:rPr>
          <w:rFonts w:eastAsia="Times New Roman"/>
        </w:rPr>
        <w:t xml:space="preserve"> fournir un rapport de synthèse de l’évènement (3</w:t>
      </w:r>
      <w:r>
        <w:rPr>
          <w:rFonts w:eastAsia="Times New Roman"/>
        </w:rPr>
        <w:t xml:space="preserve"> pages maximum) et un bilan financier (2 pages maximum) à l’issue du projet.</w:t>
      </w:r>
    </w:p>
    <w:p w:rsidR="00B7399D" w:rsidRDefault="002903C7" w14:paraId="2DD28392" w14:textId="77777777">
      <w:pPr>
        <w:pStyle w:val="Titre1"/>
        <w:jc w:val="both"/>
        <w:rPr>
          <w:rFonts w:eastAsia="Times New Roman"/>
        </w:rPr>
      </w:pPr>
      <w:r>
        <w:rPr>
          <w:rFonts w:eastAsia="Times New Roman"/>
        </w:rPr>
        <w:t>Critères de sélection</w:t>
      </w:r>
    </w:p>
    <w:p w:rsidR="00B7399D" w:rsidRDefault="002903C7" w14:paraId="000E50AF" w14:textId="77777777">
      <w:pPr>
        <w:pStyle w:val="Paragraphedeliste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Portée scientifique de l’événement au regard des objectifs et du périmètre d’EFELIA Côte d’Azur</w:t>
      </w:r>
    </w:p>
    <w:p w:rsidR="00B7399D" w:rsidRDefault="002903C7" w14:paraId="4039F87B" w14:textId="6C148FA6">
      <w:pPr>
        <w:pStyle w:val="Paragraphedeliste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Qualité scientifique </w:t>
      </w:r>
      <w:r>
        <w:rPr>
          <w:rFonts w:eastAsia="Times New Roman"/>
        </w:rPr>
        <w:t>de l</w:t>
      </w:r>
      <w:r>
        <w:rPr>
          <w:rFonts w:eastAsia="Times New Roman"/>
        </w:rPr>
        <w:t>'évènement</w:t>
      </w:r>
    </w:p>
    <w:p w:rsidR="00B7399D" w:rsidRDefault="002903C7" w14:paraId="0AFE554A" w14:textId="77777777">
      <w:pPr>
        <w:pStyle w:val="Paragraphedeliste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Caractère pluri-, inter- ou transdisciplinaire</w:t>
      </w:r>
    </w:p>
    <w:p w:rsidR="00B7399D" w:rsidRDefault="002903C7" w14:paraId="5A1AA763" w14:textId="6BD7CDCF">
      <w:pPr>
        <w:pStyle w:val="Paragraphedeliste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Audience cible et stratégie de communication prévue</w:t>
      </w:r>
    </w:p>
    <w:p w:rsidR="00B7399D" w:rsidRDefault="002903C7" w14:paraId="4B9460F3" w14:textId="748A0832">
      <w:pPr>
        <w:pStyle w:val="Paragraphedeliste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Eventuel historique d'</w:t>
      </w:r>
      <w:r>
        <w:rPr>
          <w:rFonts w:eastAsia="Times New Roman"/>
        </w:rPr>
        <w:t>i</w:t>
      </w:r>
      <w:r>
        <w:rPr>
          <w:rFonts w:eastAsia="Times New Roman"/>
        </w:rPr>
        <w:t xml:space="preserve">mpact </w:t>
      </w:r>
      <w:r>
        <w:rPr>
          <w:rFonts w:eastAsia="Times New Roman"/>
        </w:rPr>
        <w:t>et</w:t>
      </w:r>
      <w:r>
        <w:rPr>
          <w:rFonts w:eastAsia="Times New Roman"/>
        </w:rPr>
        <w:t xml:space="preserve"> attractivité</w:t>
      </w:r>
    </w:p>
    <w:p w:rsidR="00B7399D" w:rsidRDefault="002903C7" w14:paraId="165817E8" w14:textId="77777777">
      <w:pPr>
        <w:pStyle w:val="Paragraphedeliste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Pertinence du budget demandé au regard des objectifs visés</w:t>
      </w:r>
    </w:p>
    <w:p w:rsidR="00B7399D" w:rsidRDefault="00B7399D" w14:paraId="453FA240" w14:textId="77777777">
      <w:pPr>
        <w:pStyle w:val="Paragraphedeliste"/>
        <w:ind w:left="1070"/>
        <w:jc w:val="both"/>
        <w:rPr>
          <w:rFonts w:eastAsia="Times New Roman"/>
        </w:rPr>
      </w:pPr>
    </w:p>
    <w:p w:rsidR="00B7399D" w:rsidRDefault="002903C7" w14:paraId="35404F23" w14:textId="77777777">
      <w:pPr>
        <w:jc w:val="both"/>
        <w:rPr>
          <w:rFonts w:eastAsia="Times New Roman"/>
        </w:rPr>
      </w:pPr>
      <w:r>
        <w:rPr>
          <w:rFonts w:eastAsia="Times New Roman"/>
        </w:rPr>
        <w:t>Afin de connaître ces différents éléments, une trame est mise en annexe et doit faire partie du dossier de soumission.</w:t>
      </w:r>
    </w:p>
    <w:p w:rsidR="00B7399D" w:rsidRDefault="002903C7" w14:paraId="7F28BC0A" w14:textId="77777777">
      <w:pPr>
        <w:pStyle w:val="Titre1"/>
        <w:jc w:val="both"/>
        <w:rPr>
          <w:rFonts w:eastAsia="Times New Roman"/>
        </w:rPr>
      </w:pPr>
      <w:r>
        <w:rPr>
          <w:rFonts w:eastAsia="Times New Roman"/>
        </w:rPr>
        <w:t>Calendrier</w:t>
      </w:r>
    </w:p>
    <w:p w:rsidR="00B7399D" w:rsidRDefault="002903C7" w14:paraId="58C2D307" w14:textId="77777777">
      <w:pPr>
        <w:jc w:val="both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</w:rPr>
        <w:t>Lancement de l’AAP : 30 septembre 2025</w:t>
      </w:r>
    </w:p>
    <w:p w:rsidR="00B7399D" w:rsidRDefault="002903C7" w14:paraId="45269613" w14:textId="3C8CAC91">
      <w:pPr>
        <w:jc w:val="both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</w:rPr>
        <w:t>Date limite de soumission des dossiers : 3</w:t>
      </w:r>
      <w:r>
        <w:rPr>
          <w:rFonts w:eastAsia="Times New Roman"/>
        </w:rPr>
        <w:t>0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novembre</w:t>
      </w:r>
      <w:r>
        <w:rPr>
          <w:rFonts w:eastAsia="Times New Roman"/>
        </w:rPr>
        <w:t xml:space="preserve"> 2025</w:t>
      </w:r>
    </w:p>
    <w:p w:rsidR="00B7399D" w:rsidRDefault="002903C7" w14:paraId="74582B45" w14:textId="77777777">
      <w:pPr>
        <w:jc w:val="both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</w:rPr>
        <w:t>Résultats de l’AAP : 15 décembre 2025</w:t>
      </w:r>
    </w:p>
    <w:p w:rsidR="00B7399D" w:rsidP="64D85DCC" w:rsidRDefault="002903C7" w14:paraId="6CBCE61C" w14:textId="4298615C">
      <w:pPr>
        <w:pStyle w:val="Normal"/>
        <w:suppressLineNumbers w:val="0"/>
        <w:bidi w:val="0"/>
        <w:spacing w:before="0" w:beforeAutospacing="off" w:after="160" w:afterAutospacing="off" w:line="256" w:lineRule="auto"/>
        <w:ind w:left="0" w:right="0"/>
        <w:jc w:val="both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4046D0A4" w:rsidR="002903C7">
        <w:rPr>
          <w:rFonts w:eastAsia="Times New Roman"/>
        </w:rPr>
        <w:t xml:space="preserve">Les </w:t>
      </w:r>
      <w:r w:rsidRPr="4046D0A4" w:rsidR="002903C7">
        <w:rPr>
          <w:rFonts w:eastAsia="Times New Roman"/>
        </w:rPr>
        <w:t>porteur.euse.s</w:t>
      </w:r>
      <w:r w:rsidRPr="4046D0A4" w:rsidR="002903C7">
        <w:rPr>
          <w:rFonts w:eastAsia="Times New Roman"/>
        </w:rPr>
        <w:t xml:space="preserve"> de projet sont invités à envoyer leur dossier avant minuit à l’adresse </w:t>
      </w:r>
      <w:r w:rsidRPr="4046D0A4" w:rsidR="002903C7">
        <w:rPr>
          <w:rFonts w:eastAsia="Times New Roman"/>
        </w:rPr>
        <w:t>mail</w:t>
      </w:r>
      <w:r w:rsidRPr="4046D0A4" w:rsidR="002903C7">
        <w:rPr>
          <w:rFonts w:eastAsia="Times New Roman"/>
        </w:rPr>
        <w:t xml:space="preserve"> :</w:t>
      </w:r>
      <w:r w:rsidRPr="4046D0A4" w:rsidR="002903C7">
        <w:rPr>
          <w:rFonts w:eastAsia="Times New Roman"/>
        </w:rPr>
        <w:t xml:space="preserve"> </w:t>
      </w:r>
      <w:hyperlink r:id="R54f7737569da4cb5">
        <w:r w:rsidRPr="4046D0A4" w:rsidR="796237B5">
          <w:rPr>
            <w:rStyle w:val="Lienhypertexte"/>
            <w:rFonts w:eastAsia="Times New Roman"/>
          </w:rPr>
          <w:t>EFELIA.aapee@univ-cotedazur.fr</w:t>
        </w:r>
      </w:hyperlink>
      <w:r w:rsidRPr="4046D0A4" w:rsidR="796237B5">
        <w:rPr>
          <w:rFonts w:eastAsia="Times New Roman"/>
        </w:rPr>
        <w:t xml:space="preserve"> </w:t>
      </w:r>
    </w:p>
    <w:p w:rsidR="00B7399D" w:rsidRDefault="002903C7" w14:paraId="25D4A075" w14:textId="77777777">
      <w:pPr>
        <w:pStyle w:val="Titre1"/>
        <w:jc w:val="both"/>
        <w:rPr>
          <w:rFonts w:eastAsia="Times New Roman"/>
        </w:rPr>
      </w:pPr>
      <w:r>
        <w:rPr>
          <w:rFonts w:eastAsia="Times New Roman"/>
        </w:rPr>
        <w:t>Versement de la dotation</w:t>
      </w:r>
    </w:p>
    <w:p w:rsidR="00B7399D" w:rsidRDefault="002903C7" w14:paraId="691C6BB6" w14:textId="77777777">
      <w:pPr>
        <w:jc w:val="both"/>
        <w:rPr>
          <w:rFonts w:eastAsia="Times New Roman"/>
        </w:rPr>
      </w:pPr>
      <w:r>
        <w:rPr>
          <w:rFonts w:eastAsia="Times New Roman"/>
        </w:rPr>
        <w:t>Un contrat d’engagement sera signé spécifiant les termes à respecter et permettant l’ouverture d’une enveloppe financière sur Nuxeo avec le montant de la dotation accordée. Il sera signé par les deux parties : la Directric</w:t>
      </w:r>
      <w:r>
        <w:rPr>
          <w:rFonts w:eastAsia="Times New Roman"/>
        </w:rPr>
        <w:t>e scientifique d’EFELIA Côte d’Azur et le Responsable du projet.</w:t>
      </w:r>
    </w:p>
    <w:p w:rsidR="00B7399D" w:rsidRDefault="00B7399D" w14:paraId="025D22B3" w14:textId="77777777">
      <w:pPr>
        <w:jc w:val="both"/>
        <w:rPr>
          <w:rFonts w:eastAsia="Times New Roman"/>
        </w:rPr>
      </w:pPr>
    </w:p>
    <w:p w:rsidR="00B7399D" w:rsidRDefault="002903C7" w14:paraId="4A08F0FD" w14:textId="77777777">
      <w:pPr>
        <w:jc w:val="both"/>
        <w:rPr>
          <w:rFonts w:eastAsia="Times New Roman"/>
        </w:rPr>
      </w:pPr>
      <w:r>
        <w:br w:type="page"/>
      </w:r>
    </w:p>
    <w:p w:rsidR="00B7399D" w:rsidRDefault="002903C7" w14:paraId="5411EA1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Nom de l’école d’été : </w:t>
      </w:r>
    </w:p>
    <w:p w:rsidR="00B7399D" w:rsidRDefault="00B7399D" w14:paraId="4E4E261B" w14:textId="77777777">
      <w:pPr>
        <w:jc w:val="both"/>
        <w:rPr>
          <w:rFonts w:cstheme="minorHAnsi"/>
          <w:sz w:val="24"/>
          <w:szCs w:val="24"/>
        </w:rPr>
      </w:pPr>
    </w:p>
    <w:p w:rsidR="00B7399D" w:rsidRDefault="002903C7" w14:paraId="2718CB07" w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Type d'appel : AAP évènement scientifique</w:t>
      </w:r>
    </w:p>
    <w:p w:rsidR="00B7399D" w:rsidRDefault="002903C7" w14:paraId="7D3190A0" w14:textId="7777777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B7399D" w:rsidRDefault="002903C7" w14:paraId="71863618" w14:textId="50A77A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Porteur</w:t>
      </w:r>
      <w:r>
        <w:rPr>
          <w:rFonts w:cstheme="minorHAnsi"/>
          <w:b/>
          <w:bCs/>
          <w:sz w:val="24"/>
          <w:szCs w:val="24"/>
        </w:rPr>
        <w:t>·</w:t>
      </w:r>
      <w:r>
        <w:rPr>
          <w:rFonts w:cstheme="minorHAnsi"/>
          <w:b/>
          <w:bCs/>
          <w:sz w:val="24"/>
          <w:szCs w:val="24"/>
        </w:rPr>
        <w:t>euse du projet </w:t>
      </w:r>
      <w:r>
        <w:rPr>
          <w:rFonts w:cstheme="minorHAnsi"/>
          <w:sz w:val="24"/>
          <w:szCs w:val="24"/>
        </w:rPr>
        <w:t xml:space="preserve"> </w:t>
      </w:r>
    </w:p>
    <w:p w:rsidR="00B7399D" w:rsidRDefault="002903C7" w14:paraId="44D62D2E" w14:textId="7777777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 Prénom :</w:t>
      </w:r>
    </w:p>
    <w:p w:rsidR="00B7399D" w:rsidRDefault="002903C7" w14:paraId="67901E4B" w14:textId="7777777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Unité de recherche et EUR :</w:t>
      </w:r>
    </w:p>
    <w:p w:rsidR="00B7399D" w:rsidRDefault="002903C7" w14:paraId="1EE70242" w14:textId="7777777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 :</w:t>
      </w:r>
      <w:r>
        <w:rPr>
          <w:rFonts w:cstheme="minorHAnsi"/>
          <w:sz w:val="24"/>
          <w:szCs w:val="24"/>
        </w:rPr>
        <w:tab/>
      </w:r>
    </w:p>
    <w:p w:rsidR="00B7399D" w:rsidRDefault="00B7399D" w14:paraId="1F4E5DBE" w14:textId="77777777">
      <w:pPr>
        <w:jc w:val="both"/>
        <w:rPr>
          <w:rFonts w:cstheme="minorHAnsi"/>
          <w:sz w:val="24"/>
          <w:szCs w:val="24"/>
        </w:rPr>
      </w:pPr>
    </w:p>
    <w:p w:rsidR="00B7399D" w:rsidRDefault="00B7399D" w14:paraId="1C6F0B9B" w14:textId="77777777">
      <w:pPr>
        <w:jc w:val="both"/>
        <w:rPr>
          <w:rFonts w:cstheme="minorHAnsi"/>
          <w:sz w:val="24"/>
          <w:szCs w:val="24"/>
        </w:rPr>
      </w:pPr>
    </w:p>
    <w:p w:rsidR="00B7399D" w:rsidRDefault="002903C7" w14:paraId="6B1CFB05" w14:textId="7777777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Autre(s) structure(s) </w:t>
      </w:r>
      <w:r>
        <w:rPr>
          <w:rFonts w:cstheme="minorHAnsi"/>
          <w:b/>
          <w:sz w:val="24"/>
          <w:szCs w:val="24"/>
        </w:rPr>
        <w:t>partenaires concernée(s) :</w:t>
      </w:r>
      <w:r>
        <w:rPr>
          <w:rFonts w:cstheme="minorHAnsi"/>
          <w:sz w:val="24"/>
          <w:szCs w:val="24"/>
        </w:rPr>
        <w:t xml:space="preserve"> </w:t>
      </w:r>
    </w:p>
    <w:p w:rsidR="00B7399D" w:rsidRDefault="00B7399D" w14:paraId="51D6D41E" w14:textId="77777777">
      <w:pPr>
        <w:jc w:val="both"/>
        <w:rPr>
          <w:rFonts w:cstheme="minorHAnsi"/>
          <w:sz w:val="24"/>
          <w:szCs w:val="24"/>
        </w:rPr>
      </w:pPr>
    </w:p>
    <w:p w:rsidR="00B7399D" w:rsidRDefault="00B7399D" w14:paraId="399472EB" w14:textId="77777777">
      <w:pPr>
        <w:jc w:val="both"/>
        <w:rPr>
          <w:rFonts w:cstheme="minorHAnsi"/>
          <w:sz w:val="24"/>
          <w:szCs w:val="24"/>
        </w:rPr>
      </w:pPr>
    </w:p>
    <w:p w:rsidR="00B7399D" w:rsidRDefault="002903C7" w14:paraId="0F096A0E" w14:textId="77777777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Disciplines scientifiques (ou domaine) central impliqué(e)s : </w:t>
      </w:r>
    </w:p>
    <w:p w:rsidR="00B7399D" w:rsidRDefault="00B7399D" w14:paraId="773655E7" w14:textId="77777777">
      <w:pPr>
        <w:jc w:val="both"/>
        <w:rPr>
          <w:rFonts w:cstheme="minorHAnsi"/>
          <w:b/>
          <w:sz w:val="24"/>
          <w:szCs w:val="24"/>
        </w:rPr>
      </w:pPr>
    </w:p>
    <w:p w:rsidR="00B7399D" w:rsidRDefault="00B7399D" w14:paraId="7A8A6F4F" w14:textId="77777777">
      <w:pPr>
        <w:jc w:val="both"/>
        <w:rPr>
          <w:rFonts w:cstheme="minorHAnsi"/>
          <w:b/>
          <w:sz w:val="24"/>
          <w:szCs w:val="24"/>
        </w:rPr>
      </w:pPr>
    </w:p>
    <w:p w:rsidR="00B7399D" w:rsidRDefault="00B7399D" w14:paraId="2BDD1539" w14:textId="77777777">
      <w:pPr>
        <w:jc w:val="both"/>
        <w:rPr>
          <w:rFonts w:cstheme="minorHAnsi"/>
          <w:sz w:val="24"/>
          <w:szCs w:val="24"/>
        </w:rPr>
      </w:pPr>
    </w:p>
    <w:p w:rsidR="00B7399D" w:rsidRDefault="00B7399D" w14:paraId="5B83F85B" w14:textId="77777777">
      <w:pPr>
        <w:jc w:val="both"/>
        <w:rPr>
          <w:rFonts w:cstheme="minorHAnsi"/>
          <w:sz w:val="24"/>
          <w:szCs w:val="24"/>
        </w:rPr>
      </w:pPr>
    </w:p>
    <w:p w:rsidR="00B7399D" w:rsidRDefault="00B7399D" w14:paraId="70DBB44A" w14:textId="77777777">
      <w:pPr>
        <w:jc w:val="both"/>
        <w:rPr>
          <w:rFonts w:cstheme="minorHAnsi"/>
          <w:sz w:val="24"/>
          <w:szCs w:val="24"/>
        </w:rPr>
      </w:pPr>
    </w:p>
    <w:p w:rsidR="00B7399D" w:rsidRDefault="00B7399D" w14:paraId="37A0770A" w14:textId="77777777">
      <w:pPr>
        <w:jc w:val="both"/>
        <w:rPr>
          <w:rFonts w:cstheme="minorHAnsi"/>
          <w:sz w:val="24"/>
          <w:szCs w:val="24"/>
        </w:rPr>
      </w:pPr>
    </w:p>
    <w:p w:rsidR="00B7399D" w:rsidRDefault="00B7399D" w14:paraId="220393BA" w14:textId="77777777">
      <w:pPr>
        <w:jc w:val="both"/>
        <w:rPr>
          <w:rFonts w:cstheme="minorHAnsi"/>
          <w:sz w:val="24"/>
          <w:szCs w:val="24"/>
        </w:rPr>
      </w:pPr>
    </w:p>
    <w:p w:rsidR="00B7399D" w:rsidRDefault="002903C7" w14:paraId="7E46F8EB" w14:textId="77777777">
      <w:pPr>
        <w:jc w:val="both"/>
        <w:rPr>
          <w:b/>
          <w:bCs/>
          <w:sz w:val="24"/>
          <w:szCs w:val="24"/>
        </w:rPr>
      </w:pPr>
      <w:r>
        <w:br w:type="page"/>
      </w:r>
    </w:p>
    <w:p w:rsidR="00B7399D" w:rsidRDefault="002903C7" w14:paraId="03C851FA" w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– Présentation de l’évènement</w:t>
      </w:r>
    </w:p>
    <w:p w:rsidR="00B7399D" w:rsidRDefault="00B7399D" w14:paraId="36FD8803" w14:textId="77777777">
      <w:pPr>
        <w:jc w:val="both"/>
        <w:rPr>
          <w:rFonts w:cstheme="minorHAnsi"/>
          <w:sz w:val="24"/>
          <w:szCs w:val="24"/>
        </w:rPr>
      </w:pPr>
    </w:p>
    <w:p w:rsidR="00B7399D" w:rsidRDefault="002903C7" w14:paraId="71678573" w14:textId="67B73DDA">
      <w:pPr>
        <w:pStyle w:val="Paragraphedeliste"/>
        <w:numPr>
          <w:ilvl w:val="1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Contexte et </w:t>
      </w:r>
      <w:r w:rsidR="003E147E">
        <w:rPr>
          <w:i/>
          <w:iCs/>
          <w:sz w:val="24"/>
          <w:szCs w:val="24"/>
        </w:rPr>
        <w:t>o</w:t>
      </w:r>
      <w:r>
        <w:rPr>
          <w:i/>
          <w:iCs/>
          <w:sz w:val="24"/>
          <w:szCs w:val="24"/>
        </w:rPr>
        <w:t xml:space="preserve">bjectif général de l’évènement </w:t>
      </w:r>
    </w:p>
    <w:p w:rsidR="00B7399D" w:rsidRDefault="00B7399D" w14:paraId="2B776F4F" w14:textId="77777777">
      <w:pPr>
        <w:pStyle w:val="Paragraphedeliste"/>
        <w:jc w:val="both"/>
        <w:rPr>
          <w:i/>
          <w:iCs/>
          <w:sz w:val="24"/>
          <w:szCs w:val="24"/>
        </w:rPr>
      </w:pPr>
    </w:p>
    <w:p w:rsidR="00B7399D" w:rsidRDefault="00B7399D" w14:paraId="1FF5FE25" w14:textId="77777777">
      <w:pPr>
        <w:pStyle w:val="Paragraphedeliste"/>
        <w:jc w:val="both"/>
        <w:rPr>
          <w:i/>
          <w:iCs/>
          <w:sz w:val="24"/>
          <w:szCs w:val="24"/>
        </w:rPr>
      </w:pPr>
    </w:p>
    <w:p w:rsidR="00B7399D" w:rsidRDefault="00B7399D" w14:paraId="3B23A01E" w14:textId="77777777">
      <w:pPr>
        <w:pStyle w:val="Paragraphedeliste"/>
        <w:ind w:left="420"/>
        <w:jc w:val="both"/>
        <w:rPr>
          <w:i/>
          <w:iCs/>
          <w:sz w:val="24"/>
          <w:szCs w:val="24"/>
        </w:rPr>
      </w:pPr>
    </w:p>
    <w:p w:rsidR="00B7399D" w:rsidRDefault="002903C7" w14:paraId="60C26E19" w14:textId="347D0B04">
      <w:pPr>
        <w:pStyle w:val="Paragraphedeliste"/>
        <w:numPr>
          <w:ilvl w:val="1"/>
          <w:numId w:val="2"/>
        </w:num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Relations avec les </w:t>
      </w:r>
      <w:r>
        <w:rPr>
          <w:rFonts w:cstheme="minorHAnsi"/>
          <w:i/>
          <w:sz w:val="24"/>
          <w:szCs w:val="24"/>
        </w:rPr>
        <w:t xml:space="preserve">objectifs de </w:t>
      </w:r>
      <w:r>
        <w:rPr>
          <w:rFonts w:cstheme="minorHAnsi"/>
          <w:i/>
          <w:sz w:val="24"/>
          <w:szCs w:val="24"/>
        </w:rPr>
        <w:t>d’EFELIA Côte d’Azur</w:t>
      </w:r>
      <w:r>
        <w:rPr>
          <w:rFonts w:cstheme="minorHAnsi"/>
          <w:i/>
          <w:sz w:val="24"/>
          <w:szCs w:val="24"/>
        </w:rPr>
        <w:t xml:space="preserve"> (</w:t>
      </w:r>
      <w:r>
        <w:rPr>
          <w:rFonts w:cstheme="minorHAnsi"/>
          <w:i/>
          <w:sz w:val="24"/>
          <w:szCs w:val="24"/>
        </w:rPr>
        <w:t>public visé, thématiques, objectifs pédagogiques)</w:t>
      </w:r>
    </w:p>
    <w:p w:rsidR="00B7399D" w:rsidRDefault="00B7399D" w14:paraId="1E068EB3" w14:textId="77777777">
      <w:pPr>
        <w:pStyle w:val="Paragraphedeliste"/>
        <w:ind w:left="420"/>
        <w:jc w:val="both"/>
        <w:rPr>
          <w:rFonts w:cstheme="minorHAnsi"/>
          <w:i/>
          <w:sz w:val="24"/>
          <w:szCs w:val="24"/>
        </w:rPr>
      </w:pPr>
    </w:p>
    <w:p w:rsidR="00B7399D" w:rsidRDefault="00B7399D" w14:paraId="7C9D25CA" w14:textId="77777777">
      <w:pPr>
        <w:pStyle w:val="Paragraphedeliste"/>
        <w:ind w:left="420"/>
        <w:jc w:val="both"/>
        <w:rPr>
          <w:rFonts w:cstheme="minorHAnsi"/>
          <w:i/>
          <w:sz w:val="24"/>
          <w:szCs w:val="24"/>
        </w:rPr>
      </w:pPr>
    </w:p>
    <w:p w:rsidR="00B7399D" w:rsidRDefault="00B7399D" w14:paraId="33BFC280" w14:textId="77777777">
      <w:pPr>
        <w:pStyle w:val="Paragraphedeliste"/>
        <w:ind w:left="420"/>
        <w:jc w:val="both"/>
        <w:rPr>
          <w:rFonts w:cstheme="minorHAnsi"/>
          <w:i/>
          <w:sz w:val="24"/>
          <w:szCs w:val="24"/>
        </w:rPr>
      </w:pPr>
    </w:p>
    <w:p w:rsidR="00B7399D" w:rsidRDefault="002903C7" w14:paraId="5E9575C0" w14:textId="3C1C5B97">
      <w:pPr>
        <w:pStyle w:val="Paragraphedeliste"/>
        <w:numPr>
          <w:ilvl w:val="1"/>
          <w:numId w:val="2"/>
        </w:num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Programme prévu (activités, durée, invité·es</w:t>
      </w:r>
      <w:r>
        <w:rPr>
          <w:rFonts w:cstheme="minorHAnsi"/>
          <w:i/>
          <w:sz w:val="24"/>
          <w:szCs w:val="24"/>
        </w:rPr>
        <w:t>)</w:t>
      </w:r>
    </w:p>
    <w:p w:rsidR="00B7399D" w:rsidRDefault="00B7399D" w14:paraId="26D32B02" w14:textId="77777777">
      <w:pPr>
        <w:pStyle w:val="Paragraphedeliste"/>
        <w:jc w:val="both"/>
        <w:rPr>
          <w:i/>
          <w:iCs/>
          <w:sz w:val="24"/>
          <w:szCs w:val="24"/>
        </w:rPr>
      </w:pPr>
    </w:p>
    <w:p w:rsidR="00B7399D" w:rsidRDefault="00B7399D" w14:paraId="0E25A08E" w14:textId="77777777">
      <w:pPr>
        <w:pStyle w:val="Paragraphedeliste"/>
        <w:jc w:val="both"/>
        <w:rPr>
          <w:i/>
          <w:iCs/>
          <w:sz w:val="24"/>
          <w:szCs w:val="24"/>
        </w:rPr>
      </w:pPr>
    </w:p>
    <w:p w:rsidR="00B7399D" w:rsidRDefault="00B7399D" w14:paraId="548D1D3C" w14:textId="77777777">
      <w:pPr>
        <w:pStyle w:val="Paragraphedeliste"/>
        <w:ind w:left="420"/>
        <w:jc w:val="both"/>
        <w:rPr>
          <w:i/>
          <w:iCs/>
          <w:sz w:val="24"/>
          <w:szCs w:val="24"/>
        </w:rPr>
      </w:pPr>
    </w:p>
    <w:p w:rsidR="00B7399D" w:rsidRDefault="00B7399D" w14:paraId="64839B43" w14:textId="77777777">
      <w:pPr>
        <w:pStyle w:val="Paragraphedeliste"/>
        <w:ind w:left="420"/>
        <w:jc w:val="both"/>
        <w:rPr>
          <w:i/>
          <w:iCs/>
          <w:sz w:val="24"/>
          <w:szCs w:val="24"/>
        </w:rPr>
      </w:pPr>
    </w:p>
    <w:p w:rsidR="00B7399D" w:rsidRDefault="00B7399D" w14:paraId="27E858CB" w14:textId="77777777">
      <w:pPr>
        <w:pStyle w:val="Paragraphedeliste"/>
        <w:ind w:left="420"/>
        <w:jc w:val="both"/>
        <w:rPr>
          <w:i/>
          <w:iCs/>
          <w:sz w:val="24"/>
          <w:szCs w:val="24"/>
        </w:rPr>
      </w:pPr>
    </w:p>
    <w:p w:rsidR="00B7399D" w:rsidRDefault="00B7399D" w14:paraId="17A33C77" w14:textId="77777777">
      <w:pPr>
        <w:pStyle w:val="Paragraphedeliste"/>
        <w:ind w:left="420"/>
        <w:jc w:val="both"/>
        <w:rPr>
          <w:i/>
          <w:iCs/>
          <w:sz w:val="24"/>
          <w:szCs w:val="24"/>
        </w:rPr>
      </w:pPr>
    </w:p>
    <w:p w:rsidR="00B7399D" w:rsidRDefault="002903C7" w14:paraId="6C53571A" w14:textId="77777777">
      <w:pPr>
        <w:pStyle w:val="Paragraphedeliste"/>
        <w:numPr>
          <w:ilvl w:val="1"/>
          <w:numId w:val="2"/>
        </w:numPr>
        <w:jc w:val="both"/>
        <w:rPr>
          <w:i/>
          <w:iCs/>
          <w:sz w:val="24"/>
          <w:szCs w:val="24"/>
        </w:rPr>
      </w:pPr>
      <w:r>
        <w:rPr>
          <w:rFonts w:cstheme="minorHAnsi"/>
          <w:i/>
          <w:sz w:val="24"/>
          <w:szCs w:val="24"/>
        </w:rPr>
        <w:t>Période visé</w:t>
      </w:r>
      <w:r>
        <w:rPr>
          <w:rFonts w:cstheme="minorHAnsi"/>
          <w:i/>
          <w:sz w:val="24"/>
          <w:szCs w:val="24"/>
        </w:rPr>
        <w:t>e</w:t>
      </w:r>
      <w:r>
        <w:rPr>
          <w:rFonts w:cstheme="minorHAnsi"/>
          <w:i/>
          <w:sz w:val="24"/>
          <w:szCs w:val="24"/>
        </w:rPr>
        <w:t xml:space="preserve"> et lieu</w:t>
      </w:r>
    </w:p>
    <w:p w:rsidR="00B7399D" w:rsidRDefault="00B7399D" w14:paraId="54417149" w14:textId="77777777">
      <w:pPr>
        <w:jc w:val="both"/>
        <w:rPr>
          <w:rFonts w:cstheme="minorHAnsi"/>
          <w:i/>
          <w:sz w:val="24"/>
          <w:szCs w:val="24"/>
        </w:rPr>
      </w:pPr>
    </w:p>
    <w:p w:rsidR="00B7399D" w:rsidRDefault="00B7399D" w14:paraId="6DA3ECA3" w14:textId="77777777">
      <w:pPr>
        <w:jc w:val="both"/>
        <w:rPr>
          <w:rFonts w:cstheme="minorHAnsi"/>
          <w:i/>
          <w:sz w:val="24"/>
          <w:szCs w:val="24"/>
        </w:rPr>
      </w:pPr>
    </w:p>
    <w:p w:rsidR="00B7399D" w:rsidRDefault="00B7399D" w14:paraId="44BA115D" w14:textId="77777777">
      <w:pPr>
        <w:jc w:val="both"/>
        <w:rPr>
          <w:rFonts w:cstheme="minorHAnsi"/>
          <w:i/>
          <w:sz w:val="24"/>
          <w:szCs w:val="24"/>
        </w:rPr>
      </w:pPr>
    </w:p>
    <w:p w:rsidR="00B7399D" w:rsidRDefault="00B7399D" w14:paraId="31390935" w14:textId="77777777">
      <w:pPr>
        <w:jc w:val="both"/>
        <w:rPr>
          <w:rFonts w:cstheme="minorHAnsi"/>
          <w:sz w:val="24"/>
          <w:szCs w:val="24"/>
        </w:rPr>
      </w:pPr>
    </w:p>
    <w:p w:rsidR="00B7399D" w:rsidRDefault="00B7399D" w14:paraId="742309B9" w14:textId="77777777">
      <w:pPr>
        <w:jc w:val="both"/>
        <w:rPr>
          <w:rFonts w:cstheme="minorHAnsi"/>
          <w:sz w:val="24"/>
          <w:szCs w:val="24"/>
        </w:rPr>
      </w:pPr>
    </w:p>
    <w:p w:rsidR="00B7399D" w:rsidRDefault="002903C7" w14:paraId="7F38E561" w14:textId="77777777">
      <w:pPr>
        <w:jc w:val="both"/>
        <w:rPr>
          <w:rFonts w:cstheme="minorHAnsi"/>
          <w:sz w:val="24"/>
          <w:szCs w:val="24"/>
        </w:rPr>
      </w:pPr>
      <w:r>
        <w:br w:type="page"/>
      </w:r>
    </w:p>
    <w:p w:rsidR="00B7399D" w:rsidRDefault="00B7399D" w14:paraId="44C4BF16" w14:textId="77777777">
      <w:pPr>
        <w:jc w:val="both"/>
        <w:rPr>
          <w:rFonts w:cstheme="minorHAnsi"/>
          <w:sz w:val="24"/>
          <w:szCs w:val="24"/>
        </w:rPr>
      </w:pPr>
    </w:p>
    <w:p w:rsidR="00B7399D" w:rsidRDefault="002903C7" w14:paraId="4AE38AC7" w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 – Organisation</w:t>
      </w:r>
    </w:p>
    <w:p w:rsidR="00B7399D" w:rsidRDefault="002903C7" w14:paraId="1191FE46" w14:textId="402953E4">
      <w:pPr>
        <w:spacing w:line="276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2.1. </w:t>
      </w:r>
      <w:r>
        <w:rPr>
          <w:rFonts w:cstheme="minorHAnsi"/>
          <w:i/>
          <w:sz w:val="24"/>
          <w:szCs w:val="24"/>
        </w:rPr>
        <w:t>Porteur</w:t>
      </w:r>
      <w:r>
        <w:rPr>
          <w:rFonts w:cstheme="minorHAnsi"/>
          <w:i/>
          <w:sz w:val="24"/>
          <w:szCs w:val="24"/>
        </w:rPr>
        <w:t>·</w:t>
      </w:r>
      <w:r>
        <w:rPr>
          <w:rFonts w:cstheme="minorHAnsi"/>
          <w:i/>
          <w:sz w:val="24"/>
          <w:szCs w:val="24"/>
        </w:rPr>
        <w:t>euse du projet (CV d’une demie-page)</w:t>
      </w:r>
    </w:p>
    <w:p w:rsidR="00B7399D" w:rsidRDefault="002903C7" w14:paraId="28D47509" w14:textId="77777777">
      <w:pPr>
        <w:spacing w:line="276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2.2. Partenaires et rôles respectifs de chaque structure impliquée</w:t>
      </w:r>
    </w:p>
    <w:p w:rsidR="00B7399D" w:rsidRDefault="002903C7" w14:paraId="799A972F" w14:textId="77777777">
      <w:pPr>
        <w:spacing w:line="276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2.3. Tâches</w:t>
      </w:r>
    </w:p>
    <w:p w:rsidR="00B7399D" w:rsidRDefault="002903C7" w14:paraId="2DFCF910" w14:textId="2DF7339F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2.4. Budget prévisionnel et calendrier </w:t>
      </w:r>
    </w:p>
    <w:tbl>
      <w:tblPr>
        <w:tblStyle w:val="Grilledutableau"/>
        <w:tblW w:w="7929" w:type="dxa"/>
        <w:jc w:val="center"/>
        <w:tblLayout w:type="fixed"/>
        <w:tblLook w:val="01E0" w:firstRow="1" w:lastRow="1" w:firstColumn="1" w:lastColumn="1" w:noHBand="0" w:noVBand="0"/>
      </w:tblPr>
      <w:tblGrid>
        <w:gridCol w:w="4531"/>
        <w:gridCol w:w="3398"/>
      </w:tblGrid>
      <w:tr w:rsidR="00B7399D" w:rsidTr="003E147E" w14:paraId="0B87A35D" w14:textId="77777777">
        <w:trPr>
          <w:trHeight w:val="600"/>
          <w:jc w:val="center"/>
        </w:trPr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B9BD5" w:themeFill="accent5"/>
            <w:vAlign w:val="center"/>
          </w:tcPr>
          <w:p w:rsidR="00B7399D" w:rsidRDefault="002903C7" w14:paraId="5CEBB1E1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Frais de mission</w:t>
            </w:r>
          </w:p>
        </w:tc>
        <w:tc>
          <w:tcPr>
            <w:tcW w:w="33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5B9BD5" w:themeFill="accent5"/>
          </w:tcPr>
          <w:p w:rsidR="00B7399D" w:rsidRDefault="002903C7" w14:paraId="5913E120" w14:textId="77777777">
            <w:pPr>
              <w:spacing w:after="0" w:line="240" w:lineRule="auto"/>
              <w:jc w:val="both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  <w:p w:rsidR="00B7399D" w:rsidRDefault="002903C7" w14:paraId="6AB0610A" w14:textId="77777777">
            <w:pPr>
              <w:spacing w:after="0" w:line="240" w:lineRule="auto"/>
              <w:jc w:val="both"/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 xml:space="preserve"> Montants HT (euros)</w:t>
            </w:r>
          </w:p>
        </w:tc>
      </w:tr>
      <w:tr w:rsidR="00B7399D" w:rsidTr="003E147E" w14:paraId="666296EA" w14:textId="77777777">
        <w:trPr>
          <w:trHeight w:val="285"/>
          <w:jc w:val="center"/>
        </w:trPr>
        <w:tc>
          <w:tcPr>
            <w:tcW w:w="4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B7399D" w:rsidRDefault="002903C7" w14:paraId="6D92DB62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i/>
                <w:iCs/>
                <w:sz w:val="24"/>
                <w:szCs w:val="24"/>
              </w:rPr>
              <w:t>Transport intervenant∙es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="00B7399D" w:rsidRDefault="002903C7" w14:paraId="35F72C13" w14:textId="77777777">
            <w:pPr>
              <w:spacing w:after="0" w:line="240" w:lineRule="auto"/>
              <w:jc w:val="both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 w:rsidR="00B7399D" w:rsidTr="003E147E" w14:paraId="446D74E8" w14:textId="77777777">
        <w:trPr>
          <w:trHeight w:val="285"/>
          <w:jc w:val="center"/>
        </w:trPr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B7399D" w:rsidRDefault="002903C7" w14:paraId="6F4469D1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i/>
                <w:iCs/>
                <w:sz w:val="24"/>
                <w:szCs w:val="24"/>
              </w:rPr>
              <w:t>Hébergement intervenant∙es</w:t>
            </w:r>
          </w:p>
        </w:tc>
        <w:tc>
          <w:tcPr>
            <w:tcW w:w="33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="00B7399D" w:rsidRDefault="002903C7" w14:paraId="2E9C7CD3" w14:textId="77777777">
            <w:pPr>
              <w:spacing w:after="0" w:line="240" w:lineRule="auto"/>
              <w:jc w:val="both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 w:rsidR="00B7399D" w:rsidTr="003E147E" w14:paraId="29AC17E3" w14:textId="77777777">
        <w:trPr>
          <w:trHeight w:val="600"/>
          <w:jc w:val="center"/>
        </w:trPr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B9BD5" w:themeFill="accent5"/>
            <w:vAlign w:val="center"/>
          </w:tcPr>
          <w:p w:rsidR="00B7399D" w:rsidRDefault="002903C7" w14:paraId="362AC259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Autres dépenses</w:t>
            </w:r>
          </w:p>
        </w:tc>
        <w:tc>
          <w:tcPr>
            <w:tcW w:w="33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5B9BD5" w:themeFill="accent5"/>
          </w:tcPr>
          <w:p w:rsidR="00B7399D" w:rsidRDefault="00B7399D" w14:paraId="216E908C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7399D" w:rsidTr="003E147E" w14:paraId="12C5386D" w14:textId="77777777">
        <w:trPr>
          <w:trHeight w:val="232"/>
          <w:jc w:val="center"/>
        </w:trPr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B7399D" w:rsidRDefault="002903C7" w14:paraId="4A1D2ED0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i/>
                <w:iCs/>
                <w:sz w:val="24"/>
                <w:szCs w:val="24"/>
              </w:rPr>
              <w:t>Réservation salles</w:t>
            </w:r>
          </w:p>
        </w:tc>
        <w:tc>
          <w:tcPr>
            <w:tcW w:w="33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="00B7399D" w:rsidRDefault="00B7399D" w14:paraId="5C99C91D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7399D" w:rsidTr="003E147E" w14:paraId="1996B351" w14:textId="77777777">
        <w:trPr>
          <w:trHeight w:val="40"/>
          <w:jc w:val="center"/>
        </w:trPr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B7399D" w:rsidRDefault="002903C7" w14:paraId="33126DBD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i/>
                <w:iCs/>
                <w:sz w:val="24"/>
                <w:szCs w:val="24"/>
              </w:rPr>
              <w:t>Restauration</w:t>
            </w:r>
          </w:p>
        </w:tc>
        <w:tc>
          <w:tcPr>
            <w:tcW w:w="33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="00B7399D" w:rsidRDefault="00B7399D" w14:paraId="6508B1B7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7399D" w:rsidTr="003E147E" w14:paraId="3E15F2C9" w14:textId="77777777">
        <w:trPr>
          <w:trHeight w:val="285"/>
          <w:jc w:val="center"/>
        </w:trPr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B7399D" w:rsidRDefault="002903C7" w14:paraId="4569EB3D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i/>
                <w:iCs/>
                <w:sz w:val="24"/>
                <w:szCs w:val="24"/>
              </w:rPr>
              <w:t>Autres (à spécifier)</w:t>
            </w:r>
          </w:p>
        </w:tc>
        <w:tc>
          <w:tcPr>
            <w:tcW w:w="33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="00B7399D" w:rsidRDefault="00B7399D" w14:paraId="0B726193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7399D" w:rsidTr="003E147E" w14:paraId="2726453D" w14:textId="77777777">
        <w:trPr>
          <w:trHeight w:val="300"/>
          <w:jc w:val="center"/>
        </w:trPr>
        <w:tc>
          <w:tcPr>
            <w:tcW w:w="4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472C4" w:themeFill="accent1"/>
          </w:tcPr>
          <w:p w:rsidR="00B7399D" w:rsidRDefault="002903C7" w14:paraId="4932DA76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33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4472C4" w:themeFill="accent1"/>
          </w:tcPr>
          <w:p w:rsidR="00B7399D" w:rsidRDefault="002903C7" w14:paraId="3EF3B9A8" w14:textId="77777777">
            <w:pPr>
              <w:spacing w:after="0" w:line="240" w:lineRule="auto"/>
              <w:jc w:val="both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</w:tbl>
    <w:p w:rsidR="00B7399D" w:rsidRDefault="00B7399D" w14:paraId="023AFB86" w14:textId="77777777">
      <w:pPr>
        <w:jc w:val="both"/>
        <w:rPr>
          <w:sz w:val="24"/>
          <w:szCs w:val="24"/>
        </w:rPr>
      </w:pPr>
    </w:p>
    <w:p w:rsidR="00B7399D" w:rsidRDefault="002903C7" w14:paraId="2BCFE64C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Calendrier de l’école d’été :</w:t>
      </w:r>
    </w:p>
    <w:p w:rsidR="00B7399D" w:rsidRDefault="00B7399D" w14:paraId="61C2C84D" w14:textId="77777777">
      <w:pPr>
        <w:jc w:val="both"/>
        <w:rPr>
          <w:sz w:val="24"/>
          <w:szCs w:val="24"/>
        </w:rPr>
      </w:pPr>
    </w:p>
    <w:p w:rsidR="00B7399D" w:rsidRDefault="00B7399D" w14:paraId="088B28E3" w14:textId="77777777">
      <w:pPr>
        <w:jc w:val="both"/>
        <w:rPr>
          <w:sz w:val="24"/>
          <w:szCs w:val="24"/>
        </w:rPr>
      </w:pPr>
    </w:p>
    <w:p w:rsidR="00B7399D" w:rsidRDefault="002903C7" w14:paraId="5DAC4A0E" w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 – </w:t>
      </w:r>
      <w:r>
        <w:rPr>
          <w:b/>
          <w:bCs/>
          <w:sz w:val="24"/>
          <w:szCs w:val="24"/>
        </w:rPr>
        <w:t>Impacts ou effets transformants attendus</w:t>
      </w:r>
    </w:p>
    <w:p w:rsidR="00B7399D" w:rsidRDefault="00B7399D" w14:paraId="35A1E0C4" w14:textId="77777777">
      <w:pPr>
        <w:jc w:val="both"/>
        <w:rPr>
          <w:b/>
          <w:bCs/>
          <w:sz w:val="24"/>
          <w:szCs w:val="24"/>
        </w:rPr>
      </w:pPr>
    </w:p>
    <w:p w:rsidR="00B7399D" w:rsidRDefault="00B7399D" w14:paraId="1E388557" w14:textId="77777777">
      <w:pPr>
        <w:jc w:val="both"/>
        <w:rPr>
          <w:b/>
          <w:bCs/>
          <w:sz w:val="24"/>
          <w:szCs w:val="24"/>
        </w:rPr>
      </w:pPr>
    </w:p>
    <w:p w:rsidR="00B7399D" w:rsidRDefault="00B7399D" w14:paraId="79600EAD" w14:textId="77777777">
      <w:pPr>
        <w:jc w:val="both"/>
        <w:rPr>
          <w:b/>
          <w:bCs/>
          <w:sz w:val="24"/>
          <w:szCs w:val="24"/>
        </w:rPr>
      </w:pPr>
    </w:p>
    <w:p w:rsidR="00B7399D" w:rsidRDefault="002903C7" w14:paraId="75200C43" w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 – Bibliographie en référence avec la thématique de l’évènement</w:t>
      </w:r>
    </w:p>
    <w:p w:rsidR="00B7399D" w:rsidRDefault="00B7399D" w14:paraId="69836BA3" w14:textId="77777777">
      <w:pPr>
        <w:jc w:val="both"/>
        <w:rPr>
          <w:b/>
          <w:bCs/>
          <w:sz w:val="24"/>
          <w:szCs w:val="24"/>
        </w:rPr>
      </w:pPr>
    </w:p>
    <w:p w:rsidR="00B7399D" w:rsidRDefault="00B7399D" w14:paraId="71C52B72" w14:textId="77777777">
      <w:pPr>
        <w:jc w:val="both"/>
        <w:rPr>
          <w:b/>
          <w:bCs/>
          <w:sz w:val="24"/>
          <w:szCs w:val="24"/>
        </w:rPr>
      </w:pPr>
    </w:p>
    <w:p w:rsidR="00B7399D" w:rsidRDefault="00B7399D" w14:paraId="3420AF73" w14:textId="77777777">
      <w:pPr>
        <w:jc w:val="both"/>
        <w:rPr>
          <w:b/>
          <w:bCs/>
          <w:sz w:val="24"/>
          <w:szCs w:val="24"/>
        </w:rPr>
      </w:pPr>
    </w:p>
    <w:p w:rsidR="00B7399D" w:rsidRDefault="002903C7" w14:paraId="64F78C24" w14:textId="440AE21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Avis et signature des directeur</w:t>
      </w:r>
      <w:r>
        <w:rPr>
          <w:rFonts w:cstheme="minorHAnsi"/>
          <w:b/>
          <w:bCs/>
          <w:sz w:val="24"/>
          <w:szCs w:val="24"/>
        </w:rPr>
        <w:t>·</w:t>
      </w:r>
      <w:r>
        <w:rPr>
          <w:rFonts w:cstheme="minorHAnsi"/>
          <w:b/>
          <w:bCs/>
          <w:sz w:val="24"/>
          <w:szCs w:val="24"/>
        </w:rPr>
        <w:t xml:space="preserve">rices des unités de recherche ou structures participantes </w:t>
      </w:r>
    </w:p>
    <w:p w:rsidR="00B7399D" w:rsidRDefault="00B7399D" w14:paraId="07C83838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B7399D" w:rsidRDefault="00B7399D" w14:paraId="2721687A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B7399D" w:rsidRDefault="002903C7" w14:paraId="47B1E9A2" w14:textId="1EDEB2C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Signature </w:t>
      </w:r>
      <w:r>
        <w:rPr>
          <w:rFonts w:cstheme="minorHAnsi"/>
          <w:b/>
          <w:bCs/>
          <w:sz w:val="24"/>
          <w:szCs w:val="24"/>
        </w:rPr>
        <w:t xml:space="preserve">de la ou </w:t>
      </w:r>
      <w:r>
        <w:rPr>
          <w:rFonts w:cstheme="minorHAnsi"/>
          <w:b/>
          <w:bCs/>
          <w:sz w:val="24"/>
          <w:szCs w:val="24"/>
        </w:rPr>
        <w:t>des</w:t>
      </w:r>
      <w:r>
        <w:rPr>
          <w:rFonts w:cstheme="minorHAnsi"/>
          <w:b/>
          <w:bCs/>
          <w:sz w:val="24"/>
          <w:szCs w:val="24"/>
        </w:rPr>
        <w:t xml:space="preserve"> personnes</w:t>
      </w:r>
      <w:r>
        <w:rPr>
          <w:rFonts w:cstheme="minorHAnsi"/>
          <w:b/>
          <w:bCs/>
          <w:sz w:val="24"/>
          <w:szCs w:val="24"/>
        </w:rPr>
        <w:t xml:space="preserve"> </w:t>
      </w:r>
      <w:bookmarkStart w:name="_Hlk118454656" w:id="0"/>
      <w:r>
        <w:rPr>
          <w:rFonts w:cstheme="minorHAnsi"/>
          <w:b/>
          <w:bCs/>
          <w:sz w:val="24"/>
          <w:szCs w:val="24"/>
        </w:rPr>
        <w:t>porteu</w:t>
      </w:r>
      <w:r>
        <w:rPr>
          <w:rFonts w:cstheme="minorHAnsi"/>
          <w:b/>
          <w:bCs/>
          <w:sz w:val="24"/>
          <w:szCs w:val="24"/>
        </w:rPr>
        <w:t>euse</w:t>
      </w:r>
      <w:r>
        <w:rPr>
          <w:rFonts w:cstheme="minorHAnsi"/>
          <w:b/>
          <w:bCs/>
          <w:sz w:val="24"/>
          <w:szCs w:val="24"/>
        </w:rPr>
        <w:t xml:space="preserve">s </w:t>
      </w:r>
      <w:bookmarkEnd w:id="0"/>
      <w:r>
        <w:rPr>
          <w:rFonts w:cstheme="minorHAnsi"/>
          <w:b/>
          <w:bCs/>
          <w:sz w:val="24"/>
          <w:szCs w:val="24"/>
        </w:rPr>
        <w:t>du projet</w:t>
      </w:r>
    </w:p>
    <w:sectPr w:rsidR="00B7399D">
      <w:headerReference w:type="default" r:id="rId13"/>
      <w:pgSz w:w="11906" w:h="16838" w:orient="portrait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03C7" w:rsidRDefault="002903C7" w14:paraId="10C6C872" w14:textId="77777777">
      <w:pPr>
        <w:spacing w:after="0" w:line="240" w:lineRule="auto"/>
      </w:pPr>
      <w:r>
        <w:separator/>
      </w:r>
    </w:p>
  </w:endnote>
  <w:endnote w:type="continuationSeparator" w:id="0">
    <w:p w:rsidR="002903C7" w:rsidRDefault="002903C7" w14:paraId="08E130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03C7" w:rsidRDefault="002903C7" w14:paraId="0E235B17" w14:textId="77777777">
      <w:pPr>
        <w:spacing w:after="0" w:line="240" w:lineRule="auto"/>
      </w:pPr>
      <w:r>
        <w:separator/>
      </w:r>
    </w:p>
  </w:footnote>
  <w:footnote w:type="continuationSeparator" w:id="0">
    <w:p w:rsidR="002903C7" w:rsidRDefault="002903C7" w14:paraId="6D688D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7399D" w:rsidRDefault="002903C7" w14:paraId="5EE27244" w14:textId="77777777">
    <w:pPr>
      <w:pStyle w:val="En-tte"/>
      <w:jc w:val="right"/>
    </w:pPr>
    <w:r>
      <w:rPr>
        <w:noProof/>
      </w:rPr>
      <w:drawing>
        <wp:inline distT="0" distB="0" distL="0" distR="0" wp14:anchorId="3DF7239E" wp14:editId="4D1E3FA9">
          <wp:extent cx="2736850" cy="68770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87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14C3"/>
    <w:multiLevelType w:val="multilevel"/>
    <w:tmpl w:val="8222D3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E4125B"/>
    <w:multiLevelType w:val="multilevel"/>
    <w:tmpl w:val="E34A3CF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2C126439"/>
    <w:multiLevelType w:val="multilevel"/>
    <w:tmpl w:val="791EE52A"/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hint="default"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9D"/>
    <w:rsid w:val="002903C7"/>
    <w:rsid w:val="003E147E"/>
    <w:rsid w:val="00B7399D"/>
    <w:rsid w:val="4046D0A4"/>
    <w:rsid w:val="64D85DCC"/>
    <w:rsid w:val="796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4FB2"/>
  <w15:docId w15:val="{03026081-A0CA-4C00-B838-FF55B413AE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04B9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En-tteCar" w:customStyle="1">
    <w:name w:val="En-tête Car"/>
    <w:basedOn w:val="Policepardfaut"/>
    <w:link w:val="En-tte"/>
    <w:uiPriority w:val="99"/>
    <w:qFormat/>
    <w:rsid w:val="0062644D"/>
  </w:style>
  <w:style w:type="character" w:styleId="PieddepageCar" w:customStyle="1">
    <w:name w:val="Pied de page Car"/>
    <w:basedOn w:val="Policepardfaut"/>
    <w:link w:val="Pieddepage"/>
    <w:uiPriority w:val="99"/>
    <w:qFormat/>
    <w:rsid w:val="0062644D"/>
  </w:style>
  <w:style w:type="character" w:styleId="Lienhypertexte">
    <w:name w:val="Hyperlink"/>
    <w:basedOn w:val="Policepardfaut"/>
    <w:uiPriority w:val="99"/>
    <w:unhideWhenUsed/>
    <w:rsid w:val="00404B9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404B96"/>
    <w:rPr>
      <w:color w:val="605E5C"/>
      <w:shd w:val="clear" w:color="auto" w:fill="E1DFDD"/>
    </w:rPr>
  </w:style>
  <w:style w:type="character" w:styleId="Titre1Car" w:customStyle="1">
    <w:name w:val="Titre 1 Car"/>
    <w:basedOn w:val="Policepardfaut"/>
    <w:link w:val="Titre1"/>
    <w:uiPriority w:val="9"/>
    <w:qFormat/>
    <w:rsid w:val="00404B9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6E5544"/>
    <w:rPr>
      <w:sz w:val="16"/>
      <w:szCs w:val="16"/>
    </w:rPr>
  </w:style>
  <w:style w:type="character" w:styleId="CommentaireCar" w:customStyle="1">
    <w:name w:val="Commentaire Car"/>
    <w:basedOn w:val="Policepardfaut"/>
    <w:link w:val="Commentaire"/>
    <w:uiPriority w:val="99"/>
    <w:semiHidden/>
    <w:qFormat/>
    <w:rsid w:val="006E5544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6E5544"/>
    <w:rPr>
      <w:b/>
      <w:bCs/>
      <w:sz w:val="20"/>
      <w:szCs w:val="20"/>
    </w:rPr>
  </w:style>
  <w:style w:type="character" w:styleId="LineNumbering" w:customStyle="1">
    <w:name w:val="Line Numbering"/>
  </w:style>
  <w:style w:type="paragraph" w:styleId="Heading" w:customStyle="1">
    <w:name w:val="Heading"/>
    <w:basedOn w:val="Normal"/>
    <w:next w:val="Corpsdetexte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HeaderandFooter" w:customStyle="1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62644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2644D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04B96"/>
    <w:pPr>
      <w:spacing w:after="0" w:line="240" w:lineRule="auto"/>
      <w:ind w:left="720"/>
    </w:pPr>
    <w:rPr>
      <w:rFonts w:ascii="Calibri" w:hAnsi="Calibri" w:cs="Calibri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6E5544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6E5544"/>
    <w:rPr>
      <w:b/>
      <w:bCs/>
    </w:rPr>
  </w:style>
  <w:style w:type="table" w:styleId="Grilledutableau">
    <w:name w:val="Table Grid"/>
    <w:basedOn w:val="TableauNormal"/>
    <w:uiPriority w:val="59"/>
    <w:rsid w:val="00DC193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linkedin.com/showcase/efelia-cote-d-azur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univ-cotedazur.fr/efelia-cote-dazur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EFELIA.aapee@univ-cotedazur.fr" TargetMode="External" Id="R54f7737569da4cb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d3282-82f2-48a4-9005-a684287a4873" xsi:nil="true"/>
    <lcf76f155ced4ddcb4097134ff3c332f xmlns="c71920da-cedc-4f37-a09e-933d23bfe3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99643891CB3409B901363042508F6" ma:contentTypeVersion="16" ma:contentTypeDescription="Crée un document." ma:contentTypeScope="" ma:versionID="f31f1367c99131a01144c3e7f5d14707">
  <xsd:schema xmlns:xsd="http://www.w3.org/2001/XMLSchema" xmlns:xs="http://www.w3.org/2001/XMLSchema" xmlns:p="http://schemas.microsoft.com/office/2006/metadata/properties" xmlns:ns2="c71920da-cedc-4f37-a09e-933d23bfe3c0" xmlns:ns3="bb0d3282-82f2-48a4-9005-a684287a4873" targetNamespace="http://schemas.microsoft.com/office/2006/metadata/properties" ma:root="true" ma:fieldsID="378386ecaca7e3aefdba5787d6c714a2" ns2:_="" ns3:_="">
    <xsd:import namespace="c71920da-cedc-4f37-a09e-933d23bfe3c0"/>
    <xsd:import namespace="bb0d3282-82f2-48a4-9005-a684287a4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920da-cedc-4f37-a09e-933d23bfe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741edfd-2169-4bab-b116-ba96bcb05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3282-82f2-48a4-9005-a684287a487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6ca409f-a26b-4bb7-bb81-c896ad6940f0}" ma:internalName="TaxCatchAll" ma:showField="CatchAllData" ma:web="bb0d3282-82f2-48a4-9005-a684287a48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01601-EF9C-466B-AB26-90F7AB60FA1F}">
  <ds:schemaRefs>
    <ds:schemaRef ds:uri="http://schemas.microsoft.com/office/2006/metadata/properties"/>
    <ds:schemaRef ds:uri="http://schemas.microsoft.com/office/infopath/2007/PartnerControls"/>
    <ds:schemaRef ds:uri="bb0d3282-82f2-48a4-9005-a684287a4873"/>
    <ds:schemaRef ds:uri="c71920da-cedc-4f37-a09e-933d23bfe3c0"/>
  </ds:schemaRefs>
</ds:datastoreItem>
</file>

<file path=customXml/itemProps2.xml><?xml version="1.0" encoding="utf-8"?>
<ds:datastoreItem xmlns:ds="http://schemas.openxmlformats.org/officeDocument/2006/customXml" ds:itemID="{D60AC680-6B30-4175-A84E-FF520F389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9CA78-82E9-4938-ACFD-6A5250DC8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920da-cedc-4f37-a09e-933d23bfe3c0"/>
    <ds:schemaRef ds:uri="bb0d3282-82f2-48a4-9005-a684287a4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Blacas</dc:creator>
  <dc:description/>
  <lastModifiedBy>Valerie Lemaire</lastModifiedBy>
  <revision>20</revision>
  <dcterms:created xsi:type="dcterms:W3CDTF">2025-04-18T12:13:00.0000000Z</dcterms:created>
  <dcterms:modified xsi:type="dcterms:W3CDTF">2025-09-26T10:26:42.7187636Z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0x010100F6F99643891CB3409B901363042508F6</vt:lpwstr>
  </property>
  <property fmtid="{D5CDD505-2E9C-101B-9397-08002B2CF9AE}" pid="3" name="MediaServiceImageTags">
    <vt:lpwstr/>
  </property>
</Properties>
</file>