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0547" w:rsidRDefault="005E0547" w:rsidP="005E0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MAQUETTE DES MG</w:t>
      </w:r>
    </w:p>
    <w:p w:rsidR="005E0547" w:rsidRPr="005E0547" w:rsidRDefault="005E0547" w:rsidP="005E0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5E0547" w:rsidRDefault="00FF33E6" w:rsidP="005E0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Note</w:t>
      </w:r>
      <w:r w:rsidR="005E0547"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d’accompagnement </w:t>
      </w:r>
    </w:p>
    <w:p w:rsidR="00FF33E6" w:rsidRDefault="00FF33E6" w:rsidP="005E0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FF33E6" w:rsidRDefault="00FF33E6" w:rsidP="00FF33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Fiche générale de la maquette :</w:t>
      </w:r>
    </w:p>
    <w:p w:rsidR="00FF33E6" w:rsidRDefault="00FF33E6" w:rsidP="00FE0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F33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* Nous avons finalement remis les ECUE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les UE de professionnalisation afin de pouvoir introduire une compensation, ce qui pédagogiquement est plus cohérent.</w:t>
      </w:r>
    </w:p>
    <w:p w:rsidR="00FE0DDE" w:rsidRDefault="00FE0DDE" w:rsidP="00FE0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* Il n’y a pas de compensation entre les UE ; l’une ne peut pas remplacer l’autre.</w:t>
      </w:r>
    </w:p>
    <w:p w:rsidR="00FF33E6" w:rsidRDefault="00FF33E6" w:rsidP="00FE0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* Les UE sont toutes capitalisables car si un étudiant redouble, il n’est tenu de suivre à nouveau que les UE qu’il n’a pas obtenues, et non l’ensemble de l’année.</w:t>
      </w:r>
    </w:p>
    <w:p w:rsidR="00FE0DDE" w:rsidRDefault="00FE0DDE" w:rsidP="00FE0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* Il n’y a pas de note éliminatoire car il n’existe pas de notes mais 3 niveaux de compétences. </w:t>
      </w:r>
    </w:p>
    <w:p w:rsidR="00FE0DDE" w:rsidRPr="00FF33E6" w:rsidRDefault="00FE0DDE" w:rsidP="00FE0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* Redoublement : « </w:t>
      </w:r>
      <w:r w:rsidRPr="00FE0DDE">
        <w:rPr>
          <w:rFonts w:ascii="Times New Roman" w:eastAsia="Times New Roman" w:hAnsi="Times New Roman" w:cs="Times New Roman"/>
          <w:sz w:val="24"/>
          <w:szCs w:val="24"/>
          <w:lang w:eastAsia="fr-FR"/>
        </w:rPr>
        <w:t>Autorisé en cas de non-obtention d'une UE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ou plusieurs UE</w:t>
      </w:r>
      <w:r w:rsidRPr="00FE0D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</w:t>
      </w:r>
      <w:r w:rsidRPr="00FE0DDE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ur </w:t>
      </w:r>
      <w:r w:rsidRPr="00FE0DDE">
        <w:rPr>
          <w:rFonts w:ascii="Times New Roman" w:eastAsia="Times New Roman" w:hAnsi="Times New Roman" w:cs="Times New Roman"/>
          <w:sz w:val="24"/>
          <w:szCs w:val="24"/>
          <w:lang w:eastAsia="fr-FR"/>
        </w:rPr>
        <w:t>autorisation de l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FE0DDE">
        <w:rPr>
          <w:rFonts w:ascii="Times New Roman" w:eastAsia="Times New Roman" w:hAnsi="Times New Roman" w:cs="Times New Roman"/>
          <w:sz w:val="24"/>
          <w:szCs w:val="24"/>
          <w:lang w:eastAsia="fr-FR"/>
        </w:rPr>
        <w:t>équipe pédagogique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». Il ne peut fait l’objet d’une procédure systématique. Il n’est autorisé qu’après examen de la situation de l’étudiant.</w:t>
      </w:r>
    </w:p>
    <w:p w:rsidR="005E0547" w:rsidRPr="005E0547" w:rsidRDefault="005E0547" w:rsidP="005E0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5E0547" w:rsidRPr="00FE0DDE" w:rsidRDefault="00FE0DDE" w:rsidP="00FE0D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FE0DD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Fiches détaillées :</w:t>
      </w:r>
    </w:p>
    <w:p w:rsidR="005E0547" w:rsidRPr="005E0547" w:rsidRDefault="00B24123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D8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Concernant le </w:t>
      </w:r>
      <w:r w:rsidR="005E0547" w:rsidRPr="00BA1102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portfolio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, l'arrêté stipule :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une soutenance orale en fin de phase socle &gt;</w:t>
      </w:r>
      <w:r w:rsidR="00B2412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24123" w:rsidRPr="00B2412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DES</w:t>
      </w:r>
      <w:r w:rsidR="0009624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B24123" w:rsidRPr="00B2412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1 </w:t>
      </w:r>
      <w:r w:rsidR="0009624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– </w:t>
      </w:r>
      <w:r w:rsidR="00B24123" w:rsidRPr="00B2412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</w:t>
      </w:r>
      <w:r w:rsidR="0009624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B24123" w:rsidRPr="00B2412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="00B2412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Entretien tutoré validant la fin de phase socle 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une soutenance orale en fin de phase d'approfondissement &gt; 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UE </w:t>
      </w:r>
      <w:r w:rsidR="00104EA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30 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Présentation du mémoire</w:t>
      </w: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 (appelé également ainsi dans l'arrêté)</w:t>
      </w:r>
    </w:p>
    <w:p w:rsidR="00104EAB" w:rsidRDefault="00104EAB" w:rsidP="0010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04EAB" w:rsidRPr="005E0547" w:rsidRDefault="00104EAB" w:rsidP="0010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D8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E0547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Les </w:t>
      </w:r>
      <w:r w:rsidRPr="00BA11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fr-FR"/>
        </w:rPr>
        <w:t>coefficients</w:t>
      </w:r>
      <w:r w:rsidRPr="005E0547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ont été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limités</w:t>
      </w:r>
      <w:r w:rsidRPr="005E0547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à 30 par semestre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comme les ECTS.</w:t>
      </w:r>
    </w:p>
    <w:p w:rsidR="00104EAB" w:rsidRPr="005E0547" w:rsidRDefault="00104EAB" w:rsidP="0010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J'ai effectué le compte juste pour les 6 semestres, soit 180 pour les 3 années.</w:t>
      </w:r>
    </w:p>
    <w:p w:rsidR="00104EAB" w:rsidRPr="005E0547" w:rsidRDefault="00104EAB" w:rsidP="0010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Les coefficients ont été calculés selon la valeur de l'ensemble des productions à fournir dans chaque UE.</w:t>
      </w:r>
    </w:p>
    <w:p w:rsidR="00104EAB" w:rsidRPr="005E0547" w:rsidRDefault="00104EAB" w:rsidP="0010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UE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C</w:t>
      </w: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œur de métier étant relatives aux séminaires ne comportent pas toute la même pondération tenant compte d'un nombre de séminaires inégal selon les semestres, pour davantage de cohérence.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B24123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D8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E0547" w:rsidRPr="00BA1102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L'UE </w:t>
      </w:r>
      <w:proofErr w:type="spellStart"/>
      <w:r w:rsidR="005E0547" w:rsidRPr="00BA1102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Coeur</w:t>
      </w:r>
      <w:proofErr w:type="spellEnd"/>
      <w:r w:rsidR="005E0547" w:rsidRPr="00BA1102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 de métier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2ème semestre des </w:t>
      </w:r>
      <w:proofErr w:type="spellStart"/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DES</w:t>
      </w:r>
      <w:proofErr w:type="spellEnd"/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</w:t>
      </w:r>
      <w:r w:rsidR="00B01CE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8A30AD">
        <w:rPr>
          <w:rFonts w:ascii="Times New Roman" w:eastAsia="Times New Roman" w:hAnsi="Times New Roman" w:cs="Times New Roman"/>
          <w:sz w:val="24"/>
          <w:szCs w:val="24"/>
          <w:lang w:eastAsia="fr-FR"/>
        </w:rPr>
        <w:t>voit son coefficient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pondéré seulement à </w:t>
      </w:r>
      <w:r w:rsidR="005E0547"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 car il n'y a qu'un seul séminaire sur ce semestre-là contre 4 séminaires au 1er semestre.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Il n'y a pas d'UE </w:t>
      </w:r>
      <w:r w:rsidR="00467DD3">
        <w:rPr>
          <w:rFonts w:ascii="Times New Roman" w:eastAsia="Times New Roman" w:hAnsi="Times New Roman" w:cs="Times New Roman"/>
          <w:sz w:val="24"/>
          <w:szCs w:val="24"/>
          <w:lang w:eastAsia="fr-FR"/>
        </w:rPr>
        <w:t>C</w:t>
      </w: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œur de métier en DES 2 au 2ème semestre car il n'y a pas de séminaires ce semestre-là, considérant les semestres comme suit :</w:t>
      </w:r>
    </w:p>
    <w:p w:rsidR="005E0547" w:rsidRPr="00B24123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B2412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1er semestre : de Novembre à Avril inclus</w:t>
      </w:r>
    </w:p>
    <w:p w:rsidR="005E0547" w:rsidRPr="00B24123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B2412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2ème semestre : de Mai à Octobre inclus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A461E" w:rsidRPr="003B4E4D" w:rsidRDefault="00B24123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D8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Concernant les </w:t>
      </w:r>
      <w:r w:rsidR="005E0547" w:rsidRPr="00BA1102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points saillants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la maquette</w:t>
      </w:r>
      <w:r w:rsidR="00BA110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* Portfolio et usage du numérique : </w:t>
      </w:r>
      <w:r w:rsidR="002E676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l’ensemble des traces se trouve dans le cours Portfolio qui sert de dépôt de preuves, et de visibilité d’évolution des compétences</w:t>
      </w:r>
    </w:p>
    <w:p w:rsidR="005E0547" w:rsidRPr="002E676C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* Simulation : </w:t>
      </w:r>
      <w:r w:rsidRPr="002E676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présente en GEASP, dans les séminaires, et éventuellement selon le choix de l'autoformation à la professionnalisation, dans l</w:t>
      </w:r>
      <w:r w:rsidR="00104EA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es </w:t>
      </w:r>
      <w:r w:rsidRPr="002E676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UE "Personnalisation de la formation".</w:t>
      </w:r>
    </w:p>
    <w:p w:rsid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* Lecture critique, recherche : </w:t>
      </w:r>
      <w:r w:rsidRPr="002E676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UE 5 / 10 / 15 / 19 / 24 / 29</w:t>
      </w:r>
    </w:p>
    <w:p w:rsidR="00104EAB" w:rsidRPr="00FF33E6" w:rsidRDefault="00104EAB" w:rsidP="00104EAB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* </w:t>
      </w:r>
      <w:r w:rsidRPr="00307AD2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Volume horaire hors stage</w:t>
      </w:r>
      <w:r w:rsidR="00142DAC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cf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4" w:history="1">
        <w:r w:rsidRPr="00307AD2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article R6153-2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 : </w:t>
      </w:r>
      <w:r w:rsidRPr="00FF33E6">
        <w:rPr>
          <w:rFonts w:ascii="Times New Roman" w:eastAsia="Times New Roman" w:hAnsi="Times New Roman" w:cs="Times New Roman"/>
          <w:lang w:eastAsia="fr-FR"/>
        </w:rPr>
        <w:t>obligation de service de 2 demi-journées par semaine sur l'année </w:t>
      </w:r>
      <w:r w:rsidRPr="00FF33E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FF33E6" w:rsidRDefault="00FF33E6" w:rsidP="00FF33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7"/>
          <w:szCs w:val="17"/>
          <w:shd w:val="clear" w:color="auto" w:fill="FFFFFF"/>
        </w:rPr>
      </w:pPr>
      <w:r w:rsidRPr="005617DB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46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une</w:t>
      </w:r>
      <w:proofErr w:type="gramEnd"/>
      <w:r w:rsidRPr="00307AD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</w:t>
      </w:r>
      <w:r w:rsidRPr="00307AD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supervision</w:t>
      </w: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FF33E6">
        <w:rPr>
          <w:rFonts w:ascii="Times New Roman" w:eastAsia="Times New Roman" w:hAnsi="Times New Roman" w:cs="Times New Roman"/>
          <w:i/>
          <w:iCs/>
          <w:sz w:val="18"/>
          <w:szCs w:val="18"/>
          <w:lang w:eastAsia="fr-FR"/>
        </w:rPr>
        <w:t>(</w:t>
      </w:r>
      <w:r w:rsidRPr="00FF33E6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fr-FR"/>
        </w:rPr>
        <w:t>« </w:t>
      </w:r>
      <w:r w:rsidRPr="00FF33E6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sous la responsabilité du coordonnateur de sa spécialité » =</w:t>
      </w:r>
      <w:r w:rsidRPr="00FF33E6">
        <w:rPr>
          <w:rFonts w:ascii="Times New Roman" w:eastAsia="Times New Roman" w:hAnsi="Times New Roman" w:cs="Times New Roman"/>
          <w:i/>
          <w:iCs/>
          <w:sz w:val="18"/>
          <w:szCs w:val="18"/>
          <w:lang w:eastAsia="fr-FR"/>
        </w:rPr>
        <w:t xml:space="preserve"> présence effective + entretiens tutorés</w:t>
      </w:r>
      <w:r w:rsidRPr="00FF33E6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)</w:t>
      </w:r>
    </w:p>
    <w:p w:rsidR="00FF33E6" w:rsidRPr="00FF33E6" w:rsidRDefault="00FF33E6" w:rsidP="00104E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7"/>
          <w:szCs w:val="17"/>
          <w:shd w:val="clear" w:color="auto" w:fill="FFFFFF"/>
        </w:rPr>
      </w:pPr>
    </w:p>
    <w:p w:rsidR="00142DAC" w:rsidRDefault="00104EAB" w:rsidP="00FF33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5617DB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C4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B20F2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Des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B20F2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1 : </w:t>
      </w:r>
      <w:r w:rsidR="008F003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80h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ab/>
      </w:r>
    </w:p>
    <w:p w:rsidR="00104EAB" w:rsidRDefault="00104EAB" w:rsidP="00FF33E6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617DB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C4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617D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Des 2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5617D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8F003F" w:rsidRPr="008F003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80h</w:t>
      </w:r>
    </w:p>
    <w:p w:rsidR="00104EAB" w:rsidRDefault="00104EAB" w:rsidP="00FF33E6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5617DB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C4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617D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Des 3 :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42DA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7</w:t>
      </w:r>
      <w:r w:rsidR="008F003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2,5</w:t>
      </w:r>
      <w:r w:rsidR="008F003F" w:rsidRPr="008F003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h</w:t>
      </w:r>
    </w:p>
    <w:p w:rsidR="00104EAB" w:rsidRDefault="00104EAB" w:rsidP="00104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104EAB" w:rsidRPr="00FF33E6" w:rsidRDefault="00104EAB" w:rsidP="00FF3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617DB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46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FF33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une en autonomie : </w:t>
      </w:r>
      <w:r w:rsidR="008F003F" w:rsidRPr="00FF33E6">
        <w:rPr>
          <w:rFonts w:ascii="Times New Roman" w:eastAsia="Times New Roman" w:hAnsi="Times New Roman" w:cs="Times New Roman"/>
          <w:sz w:val="24"/>
          <w:szCs w:val="24"/>
          <w:lang w:eastAsia="fr-FR"/>
        </w:rPr>
        <w:t>Non comptées dans le travail effectif mais dans ses obligations de service (</w:t>
      </w:r>
      <w:proofErr w:type="spellStart"/>
      <w:r w:rsidR="008F003F" w:rsidRPr="00FF33E6">
        <w:rPr>
          <w:rFonts w:ascii="Times New Roman" w:eastAsia="Times New Roman" w:hAnsi="Times New Roman" w:cs="Times New Roman"/>
          <w:sz w:val="24"/>
          <w:szCs w:val="24"/>
          <w:lang w:eastAsia="fr-FR"/>
        </w:rPr>
        <w:t>cf</w:t>
      </w:r>
      <w:proofErr w:type="spellEnd"/>
      <w:r w:rsidR="008F003F" w:rsidRPr="00FF33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III- 2° </w:t>
      </w:r>
      <w:hyperlink r:id="rId5" w:history="1">
        <w:r w:rsidR="008F003F" w:rsidRPr="00FF33E6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article R6153-2</w:t>
        </w:r>
      </w:hyperlink>
      <w:r w:rsidR="008F003F" w:rsidRPr="00FF33E6">
        <w:rPr>
          <w:rStyle w:val="Lienhypertexte"/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</w:p>
    <w:p w:rsidR="008F003F" w:rsidRPr="00B20F2A" w:rsidRDefault="008F003F" w:rsidP="00104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104EAB" w:rsidRPr="005E0547" w:rsidRDefault="00104EAB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104EAB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D8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r w:rsidR="005E0547" w:rsidRPr="00BA1102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La nature des enseignements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stipulée en </w:t>
      </w:r>
      <w:r w:rsidR="005E0547" w:rsidRPr="00B2412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3.2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2412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l’arrêté 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est respectée comme suit :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Travaux d'écriture clinique : 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RSCA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Groupes d'échanges de pratique : 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GEASP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* Méthodes dérivant des apprentissages par résolution de problèmes (ARP) : 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RSCA et toutes traces issues de stage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Groupes de formation à la relation thérapeutique : 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séminaires (Communication, Pédiatrie, </w:t>
      </w:r>
      <w:proofErr w:type="spellStart"/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Interpro</w:t>
      </w:r>
      <w:proofErr w:type="spellEnd"/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...)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Groupes de tutorat centrés sur les familles de situations définies pour la spécialité : 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GEASP (11 familles)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Des ateliers de gestes pratiques y compris avec des techniques de simulation : 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Séminaires (Santé, Pro)</w:t>
      </w:r>
    </w:p>
    <w:p w:rsid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B24123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D8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Au sein de l'article 5 faisant état de "</w:t>
      </w:r>
      <w:r w:rsidR="005E0547" w:rsidRPr="00B2412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l'utilisation des </w:t>
      </w:r>
      <w:r w:rsidR="005E0547" w:rsidRPr="00BA110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fr-FR"/>
        </w:rPr>
        <w:t>méthodes pédagogiques innovantes</w:t>
      </w:r>
      <w:r w:rsidR="005E0547" w:rsidRPr="00B2412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 dans le cadre d'une approche par compétences et adaptée aux caractéristiques des étudiants concernés est encouragée</w:t>
      </w:r>
      <w:r w:rsidR="005E0547"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". 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Sont notamment privilégiés et mis en </w:t>
      </w: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œuvre</w:t>
      </w:r>
      <w:r w:rsidR="005E0547"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comme suit :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L'enseignement à distance asynchrone utilisant des modalités différées d'apprentissage</w:t>
      </w:r>
      <w:r w:rsidR="0009624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; d'évaluation et d'échange d'information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&gt;</w:t>
      </w:r>
      <w:r w:rsidR="00B2412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Utilisation de la plateforme Moodle pour des forums, des tutorat</w:t>
      </w:r>
      <w:r w:rsidR="0009624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en ligne, des évaluations via des dépôts de devoirs, et ressources en ligne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l'apprentissage mixte, dans une modalité de classe inversée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&gt; Quizz et activités en ligne type parcours de formation sur Moodle, ressources en ligne, classes virtuelles (hybridation)</w:t>
      </w:r>
    </w:p>
    <w:p w:rsidR="00B24123" w:rsidRDefault="00B24123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Les méthodes de simulation en santé</w:t>
      </w: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comprenant des techniques de simulation...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&gt; Séminaires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l'apprentissage en contexte professionnel réel sur la base de séances de débriefing avec rétroaction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&gt; Stages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sz w:val="24"/>
          <w:szCs w:val="24"/>
          <w:lang w:eastAsia="fr-FR"/>
        </w:rPr>
        <w:t>* Les groupes d'échanges de pratiques et de confrontation-débat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054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&gt; GEASP</w:t>
      </w: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Default="005A333F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Wingdings" w:char="F0D8"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A333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TPE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pour information, pour la thèse d’exercice, il est d’usage de compter 52 jours de 8h de travail étudiant, soit </w:t>
      </w:r>
      <w:r w:rsidRPr="005A333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416h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5A333F" w:rsidRPr="005E0547" w:rsidRDefault="005A333F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E0547" w:rsidRPr="005E0547" w:rsidRDefault="005E0547" w:rsidP="003F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F33E6" w:rsidRDefault="00FF33E6" w:rsidP="003F0352">
      <w:pPr>
        <w:jc w:val="both"/>
      </w:pPr>
    </w:p>
    <w:p w:rsidR="00FF33E6" w:rsidRDefault="00FF33E6" w:rsidP="003F0352">
      <w:pPr>
        <w:jc w:val="both"/>
      </w:pPr>
    </w:p>
    <w:sectPr w:rsidR="00FF33E6" w:rsidSect="0044192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547"/>
    <w:rsid w:val="00096249"/>
    <w:rsid w:val="00104EAB"/>
    <w:rsid w:val="00142DAC"/>
    <w:rsid w:val="002E676C"/>
    <w:rsid w:val="00307AD2"/>
    <w:rsid w:val="003212D0"/>
    <w:rsid w:val="003B4E4D"/>
    <w:rsid w:val="003F0352"/>
    <w:rsid w:val="00441929"/>
    <w:rsid w:val="00467DD3"/>
    <w:rsid w:val="004C7393"/>
    <w:rsid w:val="00554896"/>
    <w:rsid w:val="005617DB"/>
    <w:rsid w:val="005A333F"/>
    <w:rsid w:val="005E0547"/>
    <w:rsid w:val="008A30AD"/>
    <w:rsid w:val="008A461E"/>
    <w:rsid w:val="008F003F"/>
    <w:rsid w:val="009F0A0C"/>
    <w:rsid w:val="00A3183A"/>
    <w:rsid w:val="00B01CE3"/>
    <w:rsid w:val="00B20F2A"/>
    <w:rsid w:val="00B24123"/>
    <w:rsid w:val="00BA1102"/>
    <w:rsid w:val="00BC7A6F"/>
    <w:rsid w:val="00C03F58"/>
    <w:rsid w:val="00CA746D"/>
    <w:rsid w:val="00D63E1C"/>
    <w:rsid w:val="00EE0B70"/>
    <w:rsid w:val="00FB485D"/>
    <w:rsid w:val="00FE0DDE"/>
    <w:rsid w:val="00FF2187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59A10-F5C5-4339-A6E3-7778C9BD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07AD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07A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7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5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7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92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33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2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6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3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4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6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1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gifrance.gouv.fr/affichCodeArticle.do?idArticle=LEGIARTI000030305756&amp;cidTexte=LEGITEXT000006072665&amp;dateTexte=20150501" TargetMode="External"/><Relationship Id="rId4" Type="http://schemas.openxmlformats.org/officeDocument/2006/relationships/hyperlink" Target="https://www.legifrance.gouv.fr/affichCodeArticle.do?idArticle=LEGIARTI000030305756&amp;cidTexte=LEGITEXT000006072665&amp;dateTexte=201505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ROBBA</dc:creator>
  <cp:keywords/>
  <dc:description/>
  <cp:lastModifiedBy>Isabelle Callea</cp:lastModifiedBy>
  <cp:revision>2</cp:revision>
  <dcterms:created xsi:type="dcterms:W3CDTF">2020-04-16T10:54:00Z</dcterms:created>
  <dcterms:modified xsi:type="dcterms:W3CDTF">2020-04-16T10:54:00Z</dcterms:modified>
</cp:coreProperties>
</file>